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F4D0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sz w:val="24"/>
          <w:szCs w:val="24"/>
          <w:highlight w:val="none"/>
          <w:lang w:val="en-US" w:eastAsia="zh-CN"/>
        </w:rPr>
      </w:pPr>
      <w:bookmarkStart w:id="0" w:name="_GoBack"/>
      <w:r>
        <w:rPr>
          <w:rFonts w:hint="eastAsia" w:ascii="宋体" w:hAnsi="宋体" w:eastAsia="宋体" w:cs="宋体"/>
          <w:b/>
          <w:bCs/>
          <w:color w:val="auto"/>
          <w:sz w:val="24"/>
          <w:szCs w:val="24"/>
          <w:highlight w:val="none"/>
          <w:lang w:val="en-US" w:eastAsia="zh-CN"/>
        </w:rPr>
        <w:t>安徽三联学院电磁场电磁波与天线实验室项目设备名称、数量、参数清单</w:t>
      </w:r>
    </w:p>
    <w:bookmarkEnd w:id="0"/>
    <w:p w14:paraId="1DB82F6D">
      <w:pPr>
        <w:pStyle w:val="3"/>
        <w:rPr>
          <w:rFonts w:hint="eastAsia" w:ascii="宋体" w:hAnsi="宋体" w:eastAsia="宋体" w:cs="宋体"/>
          <w:color w:val="auto"/>
          <w:sz w:val="24"/>
          <w:szCs w:val="24"/>
          <w:highlight w:val="none"/>
        </w:rPr>
      </w:pPr>
    </w:p>
    <w:tbl>
      <w:tblPr>
        <w:tblStyle w:val="6"/>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36"/>
        <w:gridCol w:w="960"/>
        <w:gridCol w:w="780"/>
        <w:gridCol w:w="885"/>
        <w:gridCol w:w="5363"/>
      </w:tblGrid>
      <w:tr w14:paraId="0250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3" w:type="dxa"/>
            <w:vAlign w:val="center"/>
          </w:tcPr>
          <w:p w14:paraId="2360097A">
            <w:pPr>
              <w:spacing w:line="240" w:lineRule="atLeast"/>
              <w:jc w:val="center"/>
              <w:rPr>
                <w:rFonts w:ascii="仿宋_GB2312" w:hAnsi="宋体" w:eastAsia="仿宋_GB2312"/>
                <w:sz w:val="24"/>
                <w:szCs w:val="24"/>
                <w:highlight w:val="none"/>
              </w:rPr>
            </w:pPr>
            <w:r>
              <w:rPr>
                <w:rFonts w:hint="eastAsia" w:ascii="仿宋_GB2312" w:hAnsi="宋体" w:eastAsia="仿宋_GB2312"/>
                <w:sz w:val="24"/>
                <w:szCs w:val="24"/>
                <w:highlight w:val="none"/>
              </w:rPr>
              <w:t>序号</w:t>
            </w:r>
          </w:p>
        </w:tc>
        <w:tc>
          <w:tcPr>
            <w:tcW w:w="1236" w:type="dxa"/>
            <w:vAlign w:val="center"/>
          </w:tcPr>
          <w:p w14:paraId="36584C1C">
            <w:pPr>
              <w:spacing w:line="240" w:lineRule="atLeast"/>
              <w:jc w:val="center"/>
              <w:rPr>
                <w:rFonts w:ascii="仿宋_GB2312" w:hAnsi="宋体" w:eastAsia="仿宋_GB2312"/>
                <w:sz w:val="24"/>
                <w:szCs w:val="24"/>
                <w:highlight w:val="none"/>
              </w:rPr>
            </w:pPr>
            <w:r>
              <w:rPr>
                <w:rFonts w:hint="eastAsia" w:ascii="仿宋_GB2312" w:hAnsi="宋体" w:eastAsia="仿宋_GB2312"/>
                <w:sz w:val="24"/>
                <w:szCs w:val="24"/>
                <w:highlight w:val="none"/>
              </w:rPr>
              <w:t>主要设备名称</w:t>
            </w:r>
          </w:p>
        </w:tc>
        <w:tc>
          <w:tcPr>
            <w:tcW w:w="960" w:type="dxa"/>
            <w:vAlign w:val="center"/>
          </w:tcPr>
          <w:p w14:paraId="746CB040">
            <w:pPr>
              <w:spacing w:line="240" w:lineRule="atLeast"/>
              <w:jc w:val="center"/>
              <w:rPr>
                <w:rFonts w:ascii="仿宋_GB2312" w:hAnsi="宋体" w:eastAsia="仿宋_GB2312"/>
                <w:sz w:val="24"/>
                <w:szCs w:val="24"/>
                <w:highlight w:val="none"/>
              </w:rPr>
            </w:pPr>
            <w:r>
              <w:rPr>
                <w:rFonts w:hint="eastAsia" w:ascii="仿宋_GB2312" w:hAnsi="宋体" w:eastAsia="仿宋_GB2312"/>
                <w:sz w:val="24"/>
                <w:szCs w:val="24"/>
                <w:highlight w:val="none"/>
              </w:rPr>
              <w:t>规格型号</w:t>
            </w:r>
          </w:p>
        </w:tc>
        <w:tc>
          <w:tcPr>
            <w:tcW w:w="780" w:type="dxa"/>
            <w:vAlign w:val="center"/>
          </w:tcPr>
          <w:p w14:paraId="08B27E8A">
            <w:pPr>
              <w:spacing w:line="240" w:lineRule="atLeast"/>
              <w:jc w:val="center"/>
              <w:rPr>
                <w:rFonts w:ascii="仿宋_GB2312" w:hAnsi="宋体" w:eastAsia="仿宋_GB2312"/>
                <w:sz w:val="24"/>
                <w:szCs w:val="24"/>
                <w:highlight w:val="none"/>
              </w:rPr>
            </w:pPr>
            <w:r>
              <w:rPr>
                <w:rFonts w:hint="eastAsia" w:ascii="仿宋_GB2312" w:hAnsi="宋体" w:eastAsia="仿宋_GB2312"/>
                <w:sz w:val="24"/>
                <w:szCs w:val="24"/>
                <w:highlight w:val="none"/>
              </w:rPr>
              <w:t>单位</w:t>
            </w:r>
          </w:p>
        </w:tc>
        <w:tc>
          <w:tcPr>
            <w:tcW w:w="885" w:type="dxa"/>
            <w:vAlign w:val="center"/>
          </w:tcPr>
          <w:p w14:paraId="08D251F7">
            <w:pPr>
              <w:spacing w:line="240" w:lineRule="atLeast"/>
              <w:jc w:val="center"/>
              <w:rPr>
                <w:rFonts w:ascii="仿宋_GB2312" w:hAnsi="宋体" w:eastAsia="仿宋_GB2312"/>
                <w:sz w:val="24"/>
                <w:szCs w:val="24"/>
                <w:highlight w:val="none"/>
              </w:rPr>
            </w:pPr>
            <w:r>
              <w:rPr>
                <w:rFonts w:hint="eastAsia" w:ascii="仿宋_GB2312" w:hAnsi="宋体" w:eastAsia="仿宋_GB2312"/>
                <w:sz w:val="24"/>
                <w:szCs w:val="24"/>
                <w:highlight w:val="none"/>
              </w:rPr>
              <w:t>数量</w:t>
            </w:r>
          </w:p>
        </w:tc>
        <w:tc>
          <w:tcPr>
            <w:tcW w:w="5363" w:type="dxa"/>
            <w:vAlign w:val="center"/>
          </w:tcPr>
          <w:p w14:paraId="079F38BE">
            <w:pPr>
              <w:spacing w:line="240" w:lineRule="atLeast"/>
              <w:jc w:val="center"/>
              <w:rPr>
                <w:rFonts w:ascii="仿宋_GB2312" w:hAnsi="宋体" w:eastAsia="仿宋_GB2312"/>
                <w:sz w:val="24"/>
                <w:szCs w:val="24"/>
                <w:highlight w:val="none"/>
              </w:rPr>
            </w:pPr>
            <w:r>
              <w:rPr>
                <w:rFonts w:hint="eastAsia" w:ascii="仿宋_GB2312" w:hAnsi="宋体" w:eastAsia="仿宋_GB2312"/>
                <w:sz w:val="24"/>
                <w:szCs w:val="24"/>
                <w:highlight w:val="none"/>
              </w:rPr>
              <w:t>详细技术参数</w:t>
            </w:r>
          </w:p>
        </w:tc>
      </w:tr>
      <w:tr w14:paraId="0CCE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636B7187">
            <w:pPr>
              <w:spacing w:line="240" w:lineRule="atLeast"/>
              <w:jc w:val="center"/>
              <w:rPr>
                <w:rFonts w:ascii="仿宋_GB2312" w:hAnsi="宋体" w:eastAsia="仿宋_GB2312"/>
                <w:sz w:val="24"/>
                <w:szCs w:val="24"/>
                <w:highlight w:val="none"/>
              </w:rPr>
            </w:pPr>
            <w:r>
              <w:rPr>
                <w:rFonts w:ascii="??_GB2312" w:hAnsi="宋体" w:eastAsia="Times New Roman"/>
                <w:sz w:val="24"/>
                <w:szCs w:val="24"/>
                <w:highlight w:val="none"/>
              </w:rPr>
              <w:t>1</w:t>
            </w:r>
          </w:p>
        </w:tc>
        <w:tc>
          <w:tcPr>
            <w:tcW w:w="1236" w:type="dxa"/>
            <w:tcBorders>
              <w:top w:val="single" w:color="auto" w:sz="4" w:space="0"/>
              <w:left w:val="single" w:color="auto" w:sz="4" w:space="0"/>
              <w:bottom w:val="single" w:color="auto" w:sz="4" w:space="0"/>
              <w:right w:val="single" w:color="auto" w:sz="4" w:space="0"/>
            </w:tcBorders>
            <w:vAlign w:val="center"/>
          </w:tcPr>
          <w:p w14:paraId="2BEF3032">
            <w:pPr>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电磁波与天线综合实验系统</w:t>
            </w:r>
          </w:p>
        </w:tc>
        <w:tc>
          <w:tcPr>
            <w:tcW w:w="960" w:type="dxa"/>
            <w:tcBorders>
              <w:top w:val="single" w:color="auto" w:sz="4" w:space="0"/>
              <w:left w:val="single" w:color="auto" w:sz="4" w:space="0"/>
              <w:bottom w:val="single" w:color="auto" w:sz="4" w:space="0"/>
              <w:right w:val="single" w:color="auto" w:sz="4" w:space="0"/>
            </w:tcBorders>
            <w:vAlign w:val="center"/>
          </w:tcPr>
          <w:p w14:paraId="1218CB14">
            <w:pPr>
              <w:spacing w:line="24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RZ9976</w:t>
            </w:r>
          </w:p>
        </w:tc>
        <w:tc>
          <w:tcPr>
            <w:tcW w:w="780" w:type="dxa"/>
            <w:tcBorders>
              <w:top w:val="single" w:color="auto" w:sz="4" w:space="0"/>
              <w:left w:val="single" w:color="auto" w:sz="4" w:space="0"/>
              <w:bottom w:val="single" w:color="auto" w:sz="4" w:space="0"/>
              <w:right w:val="single" w:color="auto" w:sz="4" w:space="0"/>
            </w:tcBorders>
            <w:vAlign w:val="center"/>
          </w:tcPr>
          <w:p w14:paraId="5C337ABB">
            <w:pPr>
              <w:spacing w:line="24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885" w:type="dxa"/>
            <w:tcBorders>
              <w:top w:val="single" w:color="auto" w:sz="4" w:space="0"/>
              <w:left w:val="single" w:color="auto" w:sz="4" w:space="0"/>
              <w:bottom w:val="single" w:color="auto" w:sz="4" w:space="0"/>
              <w:right w:val="single" w:color="auto" w:sz="4" w:space="0"/>
            </w:tcBorders>
            <w:vAlign w:val="center"/>
          </w:tcPr>
          <w:p w14:paraId="78F5C3EE">
            <w:pPr>
              <w:spacing w:line="24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ascii="仿宋" w:hAnsi="仿宋" w:eastAsia="仿宋" w:cs="仿宋"/>
                <w:sz w:val="24"/>
                <w:szCs w:val="24"/>
                <w:highlight w:val="none"/>
              </w:rPr>
              <w:t>3</w:t>
            </w:r>
          </w:p>
        </w:tc>
        <w:tc>
          <w:tcPr>
            <w:tcW w:w="5363" w:type="dxa"/>
          </w:tcPr>
          <w:p w14:paraId="45DA6987">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电磁场电磁波与天线实验平台主要由电磁波信号源、电磁波功放、数控衰减器、电磁波频率计、电磁波功率计、电磁波检波器、微安表等测试器件，及各种天线、电磁波研究数控道轨等组成。通过学生自主动手制作感应器的方式，使学生能够切实感知和亲身体验电磁波的发射、传播、接收等完整的过程。</w:t>
            </w:r>
          </w:p>
          <w:p w14:paraId="670F2D84">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2、实验平台集成多种相关模块，可用于完成物理、工程电磁场、电磁学、电磁场、电磁波、微波技术与天线等相关课程的实验任务。</w:t>
            </w:r>
          </w:p>
          <w:p w14:paraId="4C521A1D">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3、虚实一体，交互友好；配套单机仿真系统，可扩展B/S架构仿真系统，既可在机箱内嵌操作平台本地运行，又可以架设在局域网服务器上，供外部浏览器访问和操作。</w:t>
            </w:r>
          </w:p>
          <w:p w14:paraId="04C0995D">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4、平台应具备电磁波频率、功率和波长测试，极化特性测试，感应电流测试，传输特性、驻波、方向图测试等多种功能。总体性能指标：</w:t>
            </w:r>
          </w:p>
          <w:p w14:paraId="6BC83B8E">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（1）支持射频信号发射频率与功率设置，接收信号检测与强弱指示，数控道轨控制、天线方向图测绘等功能；10.1寸彩色液晶，嵌入式PC控制器，Windows操作系统，鼠标操控；</w:t>
            </w:r>
          </w:p>
          <w:p w14:paraId="7BA1AE51">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（2）工作频率和输出功率数控设置，表针指示或数字显示，人性化交互；</w:t>
            </w:r>
          </w:p>
          <w:p w14:paraId="04A963D3">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工作频率：24～6000MHz；输出频率连续可调，频率调节步进≤100K；</w:t>
            </w:r>
          </w:p>
          <w:p w14:paraId="716735A5">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典型输出功率：-17.5～+23.25dBm@1.95GHz（点亮灯泡要求的），输出功率要求更低，减小相互干扰和对人体辐射危害，功率连续可调，开机缺省值：0dBm；</w:t>
            </w:r>
          </w:p>
          <w:p w14:paraId="1F81EA4A">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（3）功率计：采用液晶表针和数码显示，动态范围：≥55dB；输入频率要求：5～10000MHz ；</w:t>
            </w:r>
          </w:p>
          <w:p w14:paraId="5605C95C">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（4）频率计： 频率测试范围：200MHz～3.8GHz；输入功率要求：-15～+15dBm</w:t>
            </w:r>
          </w:p>
          <w:p w14:paraId="370ABC45">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（5）检波器：特性阻抗：50Ω，驻波比VSWR:1.5(Max)，动态范围：≥60dB</w:t>
            </w:r>
          </w:p>
          <w:p w14:paraId="31E5617C">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（6）微安表：测试范围：0～200uA</w:t>
            </w:r>
          </w:p>
          <w:p w14:paraId="47D99149">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（7）隔离器：特性阻抗：50Ω，频率范围：24MHz～6000MHz；</w:t>
            </w:r>
          </w:p>
          <w:p w14:paraId="00A7830D">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（8）端口识别保护模块：</w:t>
            </w:r>
          </w:p>
          <w:p w14:paraId="355B41EB">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支持射频端口的开路、短路、连接水平天线、连接垂直天线等状态的自动识别和监测与提示。</w:t>
            </w:r>
          </w:p>
          <w:p w14:paraId="08FCB70E">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支持软件自动提示用户当前射频端口状态并立即关断异常端口信号输出，避免设备损坏。</w:t>
            </w:r>
          </w:p>
          <w:p w14:paraId="62075B87">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（9）嵌入式矢量网络分析仪</w:t>
            </w:r>
          </w:p>
          <w:p w14:paraId="4F4F3E85">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扫频范围：1MHz～4400MHz；</w:t>
            </w:r>
          </w:p>
          <w:p w14:paraId="2E1E48D6">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信号电平：0dBm;</w:t>
            </w:r>
          </w:p>
          <w:p w14:paraId="5ADD0F62">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动态范围：1～500MHz，70dB，500～4400MHz ，60dB </w:t>
            </w:r>
          </w:p>
          <w:p w14:paraId="6DA4140A">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支持一次扫描同时测量S11和S21</w:t>
            </w:r>
          </w:p>
          <w:p w14:paraId="4AA1C3FC">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可测量S11、S21参数，驻波比、史密斯圆图，阻抗实部、阻抗虚部、导纳实部、导纳虚部、等效串并联电容电感、群延时、相位；</w:t>
            </w:r>
          </w:p>
          <w:p w14:paraId="3AE87A3B">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（10）线上实验测控模块</w:t>
            </w:r>
          </w:p>
          <w:p w14:paraId="03A6018E">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内嵌微处理器、网络接口、逻辑与射频开关矩阵、信号采集等单元，能实时接收后台命令，远程在线配置电磁场电磁波信号产生、天线极化方式、接收天线方向与位置等参数，实时采集指定节点或接收天线电磁波信号强度数据，供客户端显示与分析（驻波曲线、天线方向图等）；</w:t>
            </w:r>
          </w:p>
          <w:p w14:paraId="12964914">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（11）电磁波特性分析虚拟仿真软件：</w:t>
            </w:r>
          </w:p>
          <w:p w14:paraId="2A7E495A">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基于B/S架构，通过浏览器访问实验页面，可产生水平极化波，垂直极化波，圆极化（左旋，右旋）极化波。频率，幅度等参数均可设置。</w:t>
            </w:r>
          </w:p>
          <w:p w14:paraId="49D0C74E">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模拟电磁波在空间及其他介质内的传播特性：反射、驻波、干涉等特性。</w:t>
            </w:r>
          </w:p>
          <w:p w14:paraId="697ACB5B">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（12）电场和磁场虚拟仿真演示软件：</w:t>
            </w:r>
          </w:p>
          <w:p w14:paraId="26D861F7">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基于B/S架构，通过浏览器访问实验页面，可完成静电场、恒定电场、恒定磁场的原理仿真和演示教学。</w:t>
            </w:r>
          </w:p>
          <w:p w14:paraId="5632F687">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静电场虚拟仿真：包含单正点电荷、单负点电荷、互斥点电荷、正负对称点电荷、正负不对称点电荷、球形电荷分布、正电荷平面、负电荷平面、平行带电平面、单正电荷线、单负电荷线、平行正负电荷线、平行互斥电荷线、点电荷与电荷平面，可设置高斯参考面。</w:t>
            </w:r>
          </w:p>
          <w:p w14:paraId="7C2882EA">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恒定电场虚拟仿真：包含同轴正负电荷线，可设置高斯参考面。</w:t>
            </w:r>
          </w:p>
          <w:p w14:paraId="39333E19">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（13）3D沉浸式虚拟仿真实验教学平台：</w:t>
            </w:r>
          </w:p>
          <w:p w14:paraId="7DE21EEB">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实验室教师端配置，基于UNITY 3D平台，能够还原真实的电磁实验室场景和实验设备，展示电磁感应、电磁波传播、偏振与极化、反射与干涉、驻波等实验现象，可选配虚实结合功能接入实物实验设备进行互动演示；教学设备认知演示、教学管理功能、教学账户密码、教学成果考核、实验操作引导功能。</w:t>
            </w:r>
          </w:p>
          <w:p w14:paraId="66C91567">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可进行如下3D虚拟仿真实验：</w:t>
            </w:r>
          </w:p>
          <w:p w14:paraId="4B471052">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电磁感应3D虚拟仿真实验</w:t>
            </w:r>
          </w:p>
          <w:p w14:paraId="0049F5F4">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电磁波传输特性测量3D虚拟仿真实验</w:t>
            </w:r>
          </w:p>
          <w:p w14:paraId="306D5527">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偏振与极化3D虚拟仿真实验</w:t>
            </w:r>
          </w:p>
          <w:p w14:paraId="6D6885E5">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反射与干涉3D虚拟仿真实验</w:t>
            </w:r>
          </w:p>
          <w:p w14:paraId="5DE58A6A">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驻波特性观察3D虚拟仿真实验</w:t>
            </w:r>
          </w:p>
          <w:p w14:paraId="49FBF7D2">
            <w:pPr>
              <w:widowControl/>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驻波测量和波长测试3D虚拟仿真实验</w:t>
            </w:r>
          </w:p>
          <w:p w14:paraId="625F220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天线方向图测量3D虚拟仿真实验</w:t>
            </w:r>
          </w:p>
          <w:p w14:paraId="76A97893">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（14）配套复杂信道环境下无线通信性能评估仿真系统：</w:t>
            </w:r>
          </w:p>
          <w:p w14:paraId="5E83A047">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17.1、模道模型与干扰场景：高斯噪声信道、多径信道、多普勒信道、单音干扰、大尺度路径损耗、干扰信道、卫星信道、乡村场景、郊区场景、城市场景、室内场景等。</w:t>
            </w:r>
          </w:p>
          <w:p w14:paraId="7AA8ADD0">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17.2、干扰信号与场景参数：</w:t>
            </w:r>
          </w:p>
          <w:p w14:paraId="34210597">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1）高斯噪声信道信噪比-30dB到40dB可调；</w:t>
            </w:r>
          </w:p>
          <w:p w14:paraId="71E04399">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2）多径信道的5条多径信号可以分别设置幅度和时延；</w:t>
            </w:r>
          </w:p>
          <w:p w14:paraId="438E4B4E">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3）多普勒信道的最大多普勒频偏0hz到8192k连续可调；</w:t>
            </w:r>
          </w:p>
          <w:p w14:paraId="44EBB997">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4）单音干扰干扰频率17.192M到65.536M连续可调，干扰幅度连续可调；</w:t>
            </w:r>
          </w:p>
          <w:p w14:paraId="223BAFEC">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5）大尺度路径损耗的TR距离0-6000米可设，方向0-360°可调；</w:t>
            </w:r>
          </w:p>
          <w:p w14:paraId="66D8B0F2">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6）干扰信道包含单频、多频、宽带等，干扰频率、干扰带宽、干扰幅度可设；</w:t>
            </w:r>
          </w:p>
          <w:p w14:paraId="2209274E">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7）卫星信道可设不同城市的，采用ITU推荐的雨区估算法，根据各雨区降雨强度与年时间百分比的关系来模拟雨衰模型；</w:t>
            </w:r>
          </w:p>
          <w:p w14:paraId="5435AAAF">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8）乡村场景可以设置区域（山区、草原、圩区）、天气（晴、阴、雨、大雨）、室内室外、空气湿度；</w:t>
            </w:r>
          </w:p>
          <w:p w14:paraId="29E1E320">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9）郊区场景可以调节天气、室内外、控制湿度、TR距离等参数；</w:t>
            </w:r>
          </w:p>
          <w:p w14:paraId="59D31D83">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城市场景可以设置建筑密度、天气、室内外、湿度等；</w:t>
            </w:r>
          </w:p>
          <w:p w14:paraId="13201118">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10）室内场景可配置楼层、建筑材料等参数；</w:t>
            </w:r>
          </w:p>
          <w:p w14:paraId="503C8BC7">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17.3、支持无线通信性能评估实验：</w:t>
            </w:r>
          </w:p>
          <w:p w14:paraId="3DCB24C3">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1）AWGN信道对不同调制阶数（PSK、QPSK、16QAM、64QAM、256QAM）的影响研究；</w:t>
            </w:r>
          </w:p>
          <w:p w14:paraId="354E3404">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2）AWGN信道对扩频通信的影响研究 ；</w:t>
            </w:r>
          </w:p>
          <w:p w14:paraId="142E5BDE">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3）衰落信道（大尺度路径损耗、多径衰落、多普勒衰落）下无线通信系统搭建与评估；</w:t>
            </w:r>
          </w:p>
          <w:p w14:paraId="51870207">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4）多载波调制技术OFDM的抗多径能力研究5）、构建衰落信道实例（城市信道、乡村信道、室内信道、郊区信道）并评价其系统性能；</w:t>
            </w:r>
          </w:p>
          <w:p w14:paraId="4365B117">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5）干扰信道（单频、多频、宽带、跳频）下无线通信系统搭建与性能评估；</w:t>
            </w:r>
          </w:p>
          <w:p w14:paraId="2F47A46F">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6）干扰信道对跳频调制的影响研究；</w:t>
            </w:r>
          </w:p>
          <w:p w14:paraId="6A7C116F">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7）卫星信道雨衰研究；</w:t>
            </w:r>
          </w:p>
          <w:p w14:paraId="34B5CABB">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18）配套射频数字信号处理仿真平台</w:t>
            </w:r>
          </w:p>
          <w:p w14:paraId="3D2F47FE">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1、该系统旨在提供一个全面的射频数字信号处理仿真平台，既包含基础信号处理功能，又支持高级自定义开发，满足从教学到科研的不同层次需求；</w:t>
            </w:r>
          </w:p>
          <w:p w14:paraId="59E9AFDE">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2、系统应具备基本算法模块，至少应包含单不限于以下模块：</w:t>
            </w:r>
          </w:p>
          <w:p w14:paraId="750CB442">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典型序列模块：单位脉冲序列、矩形序列、实指数序列、正弦序列（幅度、相位、频率等参数可调）、常数序列（数值可调）、窗函数（至少含矩形窗、三角窗、汉宁窗、哈明窗、布莱克曼窗、凯赛窗且长度等参数可调）、白噪声（至少含高斯白噪声、均匀白噪声且均值、方差等参数可调）等，最大可满足4096点运算；</w:t>
            </w:r>
          </w:p>
          <w:p w14:paraId="036C354D">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（2）序列运算模块：实数运算（加减乘除）、复数运算（加减乘除），累加、卷积、反褶、移位、延迟、相关、增益器、M点抽样/插值等，最大可满足4096点运算；</w:t>
            </w:r>
          </w:p>
          <w:p w14:paraId="69457F0C">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数字滤波器模块：含低通、高通、带通、带阻4种滤波特性，无限脉冲响应数字滤波器IIR-DF（含脉冲响应、双线性变换设计法且滤波器阶数、通带边界频率、通带最大衰减、阻带截止频率、阻带最小衰减等边界参数可调）、有限脉冲响应数字滤波器FIR-DF（窗函数（至少含4种）、频率采样法且滤波器阶数、通带边界频率、阻带截止频率等参数可调）；</w:t>
            </w:r>
          </w:p>
          <w:p w14:paraId="2A27D26B">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（4）采样率转换模块：理想采样、D（至少1~100）倍抽取、I（至少1~100）倍内插、抽样率转换（至少0.01~100）等；</w:t>
            </w:r>
          </w:p>
          <w:p w14:paraId="54C00B4B">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（5）现代滤波器模块：匹配（目标个数、信号时宽、带宽、窗长度等参数可调）、维纳滤波器（阶数等参数可调）、自适应（含LMS、RLS法且阶数等参数可调）等；</w:t>
            </w:r>
          </w:p>
          <w:p w14:paraId="667E0D77">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（6）时频分析模块：幅频响应、冲激响应、阶跃响应、零极点分布、传递函数、时宽、频宽、群延时、瞬时频率、解析信号、正交分解等，最大可满足4096点运算；</w:t>
            </w:r>
          </w:p>
          <w:p w14:paraId="0CD78A8A">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（7）时频变换模块：DFT/FFT、DCT、DST 、K-L变换、希尔伯特变换等，最大可满足4096点运算；</w:t>
            </w:r>
          </w:p>
          <w:p w14:paraId="43EA90B9">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（8）参数建模估计模块：自回归（AR）模型p（至少1~100）阶可调、滑动平均（MA）模型q（至少1~100）阶可调 、自回归滑动平均（ARMA）模型p（至少1~100）阶q（至少1~100）阶可调；</w:t>
            </w:r>
          </w:p>
          <w:p w14:paraId="18BED2B7">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3、系统应具备以下显示模块：</w:t>
            </w:r>
          </w:p>
          <w:p w14:paraId="6BA67139">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（1）绘图模块：支持连续、离散显示方式，支持单输入和多输入模式，最大支持4路输入；</w:t>
            </w:r>
          </w:p>
          <w:p w14:paraId="6B528121">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（2）文本显示：支持数据的文本显示方式；</w:t>
            </w:r>
          </w:p>
          <w:p w14:paraId="5730BEB5">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（3）统计信息：至少支持以下数据统计：均值，均方根，最大值，最小值，中值，标准差，方差，峰峰值；</w:t>
            </w:r>
          </w:p>
          <w:p w14:paraId="0410F901">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（4）直方图：支持数据的直方图统计；</w:t>
            </w:r>
          </w:p>
          <w:p w14:paraId="3E34DB50">
            <w:pPr>
              <w:spacing w:line="360" w:lineRule="auto"/>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（5）谱分析：支持幅度谱和功率谱运算，支持线性和对数显示方式；</w:t>
            </w:r>
          </w:p>
        </w:tc>
      </w:tr>
      <w:tr w14:paraId="1BAD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4BDF6574">
            <w:pPr>
              <w:spacing w:line="240" w:lineRule="atLeast"/>
              <w:jc w:val="center"/>
              <w:rPr>
                <w:rFonts w:ascii="??_GB2312" w:hAnsi="宋体" w:eastAsiaTheme="minorEastAsia"/>
                <w:sz w:val="24"/>
                <w:szCs w:val="24"/>
                <w:highlight w:val="none"/>
              </w:rPr>
            </w:pPr>
            <w:r>
              <w:rPr>
                <w:rFonts w:hint="eastAsia" w:ascii="??_GB2312" w:hAnsi="宋体" w:eastAsiaTheme="minorEastAsia"/>
                <w:sz w:val="24"/>
                <w:szCs w:val="24"/>
                <w:highlight w:val="none"/>
              </w:rPr>
              <w:t>2</w:t>
            </w:r>
          </w:p>
        </w:tc>
        <w:tc>
          <w:tcPr>
            <w:tcW w:w="1236" w:type="dxa"/>
            <w:tcBorders>
              <w:top w:val="single" w:color="auto" w:sz="4" w:space="0"/>
              <w:left w:val="single" w:color="auto" w:sz="4" w:space="0"/>
              <w:bottom w:val="single" w:color="auto" w:sz="4" w:space="0"/>
              <w:right w:val="single" w:color="auto" w:sz="4" w:space="0"/>
            </w:tcBorders>
            <w:vAlign w:val="center"/>
          </w:tcPr>
          <w:p w14:paraId="5443E988">
            <w:pPr>
              <w:jc w:val="center"/>
              <w:rPr>
                <w:rFonts w:ascii="仿宋" w:hAnsi="仿宋" w:eastAsia="仿宋" w:cs="仿宋"/>
                <w:kern w:val="0"/>
                <w:sz w:val="24"/>
                <w:szCs w:val="24"/>
                <w:highlight w:val="none"/>
              </w:rPr>
            </w:pPr>
            <w:r>
              <w:rPr>
                <w:rFonts w:hint="eastAsia" w:ascii="仿宋_GB2312" w:hAnsi="宋体" w:eastAsia="仿宋_GB2312"/>
                <w:bCs/>
                <w:sz w:val="24"/>
                <w:szCs w:val="24"/>
                <w:highlight w:val="none"/>
              </w:rPr>
              <w:t>天线传输特性研究道轨</w:t>
            </w:r>
          </w:p>
        </w:tc>
        <w:tc>
          <w:tcPr>
            <w:tcW w:w="960" w:type="dxa"/>
            <w:tcBorders>
              <w:top w:val="single" w:color="auto" w:sz="4" w:space="0"/>
              <w:left w:val="single" w:color="auto" w:sz="4" w:space="0"/>
              <w:bottom w:val="single" w:color="auto" w:sz="4" w:space="0"/>
              <w:right w:val="single" w:color="auto" w:sz="4" w:space="0"/>
            </w:tcBorders>
            <w:vAlign w:val="center"/>
          </w:tcPr>
          <w:p w14:paraId="4C62F0CE">
            <w:pPr>
              <w:jc w:val="center"/>
              <w:rPr>
                <w:rFonts w:hint="eastAsia" w:ascii="仿宋_GB2312" w:hAnsi="宋体" w:eastAsia="仿宋_GB2312"/>
                <w:bCs/>
                <w:sz w:val="24"/>
                <w:szCs w:val="24"/>
                <w:highlight w:val="none"/>
              </w:rPr>
            </w:pPr>
            <w:r>
              <w:rPr>
                <w:rFonts w:hint="eastAsia" w:ascii="仿宋_GB2312" w:hAnsi="宋体" w:eastAsia="仿宋_GB2312"/>
                <w:bCs/>
                <w:sz w:val="24"/>
                <w:szCs w:val="24"/>
                <w:highlight w:val="none"/>
              </w:rPr>
              <w:t>定制</w:t>
            </w:r>
          </w:p>
        </w:tc>
        <w:tc>
          <w:tcPr>
            <w:tcW w:w="780" w:type="dxa"/>
            <w:tcBorders>
              <w:top w:val="single" w:color="auto" w:sz="4" w:space="0"/>
              <w:left w:val="single" w:color="auto" w:sz="4" w:space="0"/>
              <w:bottom w:val="single" w:color="auto" w:sz="4" w:space="0"/>
              <w:right w:val="single" w:color="auto" w:sz="4" w:space="0"/>
            </w:tcBorders>
            <w:vAlign w:val="center"/>
          </w:tcPr>
          <w:p w14:paraId="0ABCE5FB">
            <w:pPr>
              <w:jc w:val="center"/>
              <w:rPr>
                <w:rFonts w:hint="eastAsia" w:ascii="仿宋_GB2312" w:hAnsi="宋体" w:eastAsia="仿宋_GB2312"/>
                <w:bCs/>
                <w:sz w:val="24"/>
                <w:szCs w:val="24"/>
                <w:highlight w:val="none"/>
              </w:rPr>
            </w:pPr>
            <w:r>
              <w:rPr>
                <w:rFonts w:hint="eastAsia" w:ascii="仿宋_GB2312" w:hAnsi="宋体" w:eastAsia="仿宋_GB2312"/>
                <w:bCs/>
                <w:sz w:val="24"/>
                <w:szCs w:val="24"/>
                <w:highlight w:val="none"/>
              </w:rPr>
              <w:t>台</w:t>
            </w:r>
          </w:p>
        </w:tc>
        <w:tc>
          <w:tcPr>
            <w:tcW w:w="885" w:type="dxa"/>
            <w:tcBorders>
              <w:top w:val="single" w:color="auto" w:sz="4" w:space="0"/>
              <w:left w:val="single" w:color="auto" w:sz="4" w:space="0"/>
              <w:bottom w:val="single" w:color="auto" w:sz="4" w:space="0"/>
              <w:right w:val="single" w:color="auto" w:sz="4" w:space="0"/>
            </w:tcBorders>
            <w:vAlign w:val="center"/>
          </w:tcPr>
          <w:p w14:paraId="341B11A5">
            <w:pPr>
              <w:jc w:val="center"/>
              <w:rPr>
                <w:rFonts w:hint="eastAsia" w:ascii="仿宋_GB2312" w:hAnsi="宋体" w:eastAsia="仿宋_GB2312"/>
                <w:bCs/>
                <w:sz w:val="24"/>
                <w:szCs w:val="24"/>
                <w:highlight w:val="none"/>
                <w:lang w:val="en-US" w:eastAsia="zh-CN"/>
              </w:rPr>
            </w:pPr>
            <w:r>
              <w:rPr>
                <w:rFonts w:hint="eastAsia" w:ascii="仿宋_GB2312" w:hAnsi="宋体" w:eastAsia="仿宋_GB2312"/>
                <w:bCs/>
                <w:sz w:val="24"/>
                <w:szCs w:val="24"/>
                <w:highlight w:val="none"/>
              </w:rPr>
              <w:t>13</w:t>
            </w:r>
          </w:p>
        </w:tc>
        <w:tc>
          <w:tcPr>
            <w:tcW w:w="5363" w:type="dxa"/>
          </w:tcPr>
          <w:p w14:paraId="125E89A4">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数控多极化发射天线：鼠标点击软件界面切换发射天线极化方式，无须手动拆装馈线，可切换极化方式至少包含：垂直线极化、水平线极化、左旋圆极化、右旋圆极化等；可在线上操作平台中的波形合成演示模块内观测对应虚拟波形，便于学生理解波形合成原理。</w:t>
            </w:r>
          </w:p>
          <w:p w14:paraId="4FD301B7">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(2)配套天线：微带偶极子天线、微带准八木天线、二单元阵列天线、阿基米德螺旋天线、自制天线</w:t>
            </w:r>
          </w:p>
          <w:p w14:paraId="6CF5989A">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(3)电磁波研究数控道轨的接收天线位置、接收天线角度、反射板位置、反射板角度均可数字控制， </w:t>
            </w:r>
          </w:p>
          <w:p w14:paraId="24EC44F5">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标尺精度：    1mm</w:t>
            </w:r>
          </w:p>
          <w:p w14:paraId="171E2BF8">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长度量程：     900mm</w:t>
            </w:r>
          </w:p>
          <w:p w14:paraId="7B898F13">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接收天线数控角度范围： 360°</w:t>
            </w:r>
          </w:p>
          <w:p w14:paraId="6742BEC4">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反射板数控角度范围：   90°</w:t>
            </w:r>
          </w:p>
          <w:p w14:paraId="069D5094">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含数控三维天线测试架，支持双向电动调节功能，稳定性高，抗干扰能力强，支持PC端显示距离和角度读取，实时跟踪测量位移距离；</w:t>
            </w:r>
          </w:p>
          <w:p w14:paraId="5C28FC67">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支持实时绘制接收天线信号强度和天线位置的关系曲线；</w:t>
            </w:r>
          </w:p>
          <w:p w14:paraId="2B67F5ED">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支持接收天线与反射板位置设置：手动设置、数控设置、自动扫描；</w:t>
            </w:r>
          </w:p>
          <w:p w14:paraId="4E525E43">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支持接收天线方向设置：手动设置、数控设置；</w:t>
            </w:r>
          </w:p>
          <w:p w14:paraId="48F71006">
            <w:pPr>
              <w:widowControl/>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天线方向图自动化测量：可自动扫描天线方向图，无须手动旋转天线和人工读数，软件实时自动绘制天线方向图曲线，无须录入角度和电平数据；包含极坐标和直角坐标显示，支持极化图方向图切换测量和显示，支持数据对照组研究，专用数据格式文件保存和调用读取，支持游标移动显示。</w:t>
            </w:r>
          </w:p>
          <w:p w14:paraId="492E8E4C">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测量平面：E面、H面</w:t>
            </w:r>
          </w:p>
          <w:p w14:paraId="1A15C477">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角度步进：≤1°动态范围：≥55dB，对照组数量：≥2组</w:t>
            </w:r>
          </w:p>
          <w:p w14:paraId="0D80A7AF">
            <w:pPr>
              <w:widowControl/>
              <w:spacing w:line="360" w:lineRule="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天线方向图数据分析软件：加载天线方向图测量数据，软件自动分析天线方向图特征，生成天线辐射参数，如主瓣宽度、前后比、旁瓣电平等，导出天线辐射参数报告。</w:t>
            </w:r>
          </w:p>
        </w:tc>
      </w:tr>
      <w:tr w14:paraId="583F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7814C3BB">
            <w:pPr>
              <w:spacing w:line="240" w:lineRule="atLeast"/>
              <w:jc w:val="center"/>
              <w:rPr>
                <w:rFonts w:hint="eastAsia" w:ascii="??_GB2312" w:hAnsi="宋体" w:eastAsiaTheme="minorEastAsia"/>
                <w:sz w:val="24"/>
                <w:szCs w:val="24"/>
                <w:highlight w:val="none"/>
                <w:lang w:val="en-US" w:eastAsia="zh-CN"/>
              </w:rPr>
            </w:pPr>
            <w:r>
              <w:rPr>
                <w:rFonts w:hint="eastAsia" w:ascii="??_GB2312" w:hAnsi="宋体"/>
                <w:sz w:val="24"/>
                <w:szCs w:val="24"/>
                <w:highlight w:val="none"/>
                <w:lang w:val="en-US" w:eastAsia="zh-CN"/>
              </w:rPr>
              <w:t>3</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2DE71267">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布线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8BCA58">
            <w:pPr>
              <w:jc w:val="center"/>
              <w:rPr>
                <w:rFonts w:hint="eastAsia" w:ascii="仿宋_GB2312" w:hAnsi="宋体" w:eastAsia="仿宋_GB2312" w:cstheme="minorBidi"/>
                <w:kern w:val="2"/>
                <w:sz w:val="24"/>
                <w:szCs w:val="24"/>
                <w:highlight w:val="none"/>
                <w:lang w:val="en-US" w:eastAsia="zh-CN" w:bidi="ar-SA"/>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BF576FC">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间</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4CC7370">
            <w:pPr>
              <w:jc w:val="center"/>
              <w:rPr>
                <w:rFonts w:hint="eastAsia" w:ascii="仿宋_GB2312" w:hAnsi="宋体" w:eastAsia="仿宋_GB2312"/>
                <w:bCs/>
                <w:sz w:val="24"/>
                <w:szCs w:val="24"/>
                <w:highlight w:val="none"/>
              </w:rPr>
            </w:pPr>
            <w:r>
              <w:rPr>
                <w:rFonts w:hint="eastAsia" w:ascii="仿宋_GB2312" w:hAnsi="宋体" w:eastAsia="仿宋_GB2312" w:cstheme="minorBidi"/>
                <w:sz w:val="24"/>
                <w:szCs w:val="24"/>
                <w:highlight w:val="none"/>
              </w:rPr>
              <w:t>1</w:t>
            </w:r>
          </w:p>
        </w:tc>
        <w:tc>
          <w:tcPr>
            <w:tcW w:w="5363" w:type="dxa"/>
          </w:tcPr>
          <w:p w14:paraId="42FD36BF">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_GB2312" w:hAnsi="宋体" w:eastAsia="仿宋_GB2312" w:cstheme="minorBidi"/>
                <w:sz w:val="24"/>
                <w:szCs w:val="24"/>
                <w:highlight w:val="none"/>
                <w:lang w:val="en-US" w:eastAsia="zh-CN"/>
              </w:rPr>
              <w:t>根据实验桌摆放要求布线</w:t>
            </w:r>
          </w:p>
        </w:tc>
      </w:tr>
      <w:tr w14:paraId="4D9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76853EF">
            <w:pPr>
              <w:spacing w:line="240" w:lineRule="atLeast"/>
              <w:jc w:val="center"/>
              <w:rPr>
                <w:rFonts w:hint="eastAsia" w:ascii="??_GB2312" w:hAnsi="宋体" w:eastAsiaTheme="minorEastAsia"/>
                <w:sz w:val="24"/>
                <w:szCs w:val="24"/>
                <w:highlight w:val="none"/>
                <w:lang w:val="en-US" w:eastAsia="zh-CN"/>
              </w:rPr>
            </w:pPr>
            <w:r>
              <w:rPr>
                <w:rFonts w:hint="eastAsia" w:ascii="??_GB2312" w:hAnsi="宋体"/>
                <w:sz w:val="24"/>
                <w:szCs w:val="24"/>
                <w:highlight w:val="none"/>
                <w:lang w:val="en-US" w:eastAsia="zh-CN"/>
              </w:rPr>
              <w:t>4</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23808699">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实验桌</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78EFE3">
            <w:pPr>
              <w:jc w:val="center"/>
              <w:rPr>
                <w:rFonts w:ascii="仿宋_GB2312" w:hAnsi="宋体" w:eastAsia="仿宋_GB2312" w:cstheme="minorBidi"/>
                <w:sz w:val="24"/>
                <w:szCs w:val="24"/>
                <w:highlight w:val="none"/>
              </w:rPr>
            </w:pPr>
            <w:r>
              <w:rPr>
                <w:rFonts w:hint="eastAsia" w:ascii="仿宋_GB2312" w:hAnsi="宋体" w:eastAsia="仿宋_GB2312" w:cstheme="minorBidi"/>
                <w:sz w:val="24"/>
                <w:szCs w:val="24"/>
                <w:highlight w:val="none"/>
              </w:rPr>
              <w:t>140cm*</w:t>
            </w:r>
          </w:p>
          <w:p w14:paraId="05EE4584">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70cm</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CE80441">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张</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8F9BABC">
            <w:pPr>
              <w:jc w:val="center"/>
              <w:rPr>
                <w:rFonts w:hint="eastAsia" w:ascii="仿宋_GB2312" w:hAnsi="宋体" w:eastAsia="仿宋_GB2312"/>
                <w:bCs/>
                <w:sz w:val="24"/>
                <w:szCs w:val="24"/>
                <w:highlight w:val="none"/>
              </w:rPr>
            </w:pPr>
            <w:r>
              <w:rPr>
                <w:rFonts w:hint="eastAsia" w:ascii="仿宋_GB2312" w:hAnsi="宋体" w:eastAsia="仿宋_GB2312" w:cstheme="minorBidi"/>
                <w:sz w:val="24"/>
                <w:szCs w:val="24"/>
                <w:highlight w:val="none"/>
              </w:rPr>
              <w:t>13</w:t>
            </w:r>
          </w:p>
        </w:tc>
        <w:tc>
          <w:tcPr>
            <w:tcW w:w="5363" w:type="dxa"/>
          </w:tcPr>
          <w:p w14:paraId="3D97DF7E">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3AF4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2470DB0C">
            <w:pPr>
              <w:spacing w:line="240" w:lineRule="atLeast"/>
              <w:jc w:val="center"/>
              <w:rPr>
                <w:rFonts w:hint="eastAsia" w:ascii="??_GB2312" w:hAnsi="宋体" w:eastAsiaTheme="minorEastAsia"/>
                <w:sz w:val="24"/>
                <w:szCs w:val="24"/>
                <w:highlight w:val="none"/>
                <w:lang w:val="en-US" w:eastAsia="zh-CN"/>
              </w:rPr>
            </w:pPr>
            <w:r>
              <w:rPr>
                <w:rFonts w:hint="eastAsia" w:ascii="??_GB2312" w:hAnsi="宋体"/>
                <w:sz w:val="24"/>
                <w:szCs w:val="24"/>
                <w:highlight w:val="none"/>
                <w:lang w:val="en-US" w:eastAsia="zh-CN"/>
              </w:rPr>
              <w:t>5</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462F6E7A">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木凳</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C87109">
            <w:pPr>
              <w:jc w:val="center"/>
              <w:rPr>
                <w:rFonts w:hint="eastAsia" w:ascii="仿宋_GB2312" w:hAnsi="宋体" w:eastAsia="仿宋_GB2312" w:cstheme="minorBidi"/>
                <w:kern w:val="2"/>
                <w:sz w:val="24"/>
                <w:szCs w:val="24"/>
                <w:highlight w:val="none"/>
                <w:lang w:val="en-US" w:eastAsia="zh-CN" w:bidi="ar-SA"/>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A47C673">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张</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A00B937">
            <w:pPr>
              <w:jc w:val="center"/>
              <w:rPr>
                <w:rFonts w:hint="eastAsia" w:ascii="仿宋_GB2312" w:hAnsi="宋体" w:eastAsia="仿宋_GB2312"/>
                <w:bCs/>
                <w:sz w:val="24"/>
                <w:szCs w:val="24"/>
                <w:highlight w:val="none"/>
              </w:rPr>
            </w:pPr>
            <w:r>
              <w:rPr>
                <w:rFonts w:hint="eastAsia" w:ascii="仿宋_GB2312" w:hAnsi="宋体" w:eastAsia="仿宋_GB2312" w:cstheme="minorBidi"/>
                <w:sz w:val="24"/>
                <w:szCs w:val="24"/>
                <w:highlight w:val="none"/>
              </w:rPr>
              <w:t>26</w:t>
            </w:r>
          </w:p>
        </w:tc>
        <w:tc>
          <w:tcPr>
            <w:tcW w:w="5363" w:type="dxa"/>
          </w:tcPr>
          <w:p w14:paraId="2A757248">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0A3D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6C3C50F1">
            <w:pPr>
              <w:spacing w:line="240" w:lineRule="atLeast"/>
              <w:jc w:val="center"/>
              <w:rPr>
                <w:rFonts w:hint="eastAsia" w:ascii="??_GB2312" w:hAnsi="宋体" w:eastAsiaTheme="minorEastAsia"/>
                <w:sz w:val="24"/>
                <w:szCs w:val="24"/>
                <w:highlight w:val="none"/>
                <w:lang w:val="en-US" w:eastAsia="zh-CN"/>
              </w:rPr>
            </w:pPr>
            <w:r>
              <w:rPr>
                <w:rFonts w:hint="eastAsia" w:ascii="??_GB2312" w:hAnsi="宋体"/>
                <w:sz w:val="24"/>
                <w:szCs w:val="24"/>
                <w:highlight w:val="none"/>
                <w:lang w:val="en-US" w:eastAsia="zh-CN"/>
              </w:rPr>
              <w:t>6</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74A34C33">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文件柜</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C19DFB">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lang w:val="en-US" w:eastAsia="zh-CN"/>
              </w:rPr>
              <w:t>钢制</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57770C8">
            <w:pPr>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cstheme="minorBidi"/>
                <w:sz w:val="24"/>
                <w:szCs w:val="24"/>
                <w:highlight w:val="none"/>
              </w:rPr>
              <w:t>张</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DACC17F">
            <w:pPr>
              <w:jc w:val="center"/>
              <w:rPr>
                <w:rFonts w:hint="eastAsia" w:ascii="仿宋_GB2312" w:hAnsi="宋体" w:eastAsia="仿宋_GB2312"/>
                <w:bCs/>
                <w:sz w:val="24"/>
                <w:szCs w:val="24"/>
                <w:highlight w:val="none"/>
              </w:rPr>
            </w:pPr>
            <w:r>
              <w:rPr>
                <w:rFonts w:hint="eastAsia" w:ascii="仿宋_GB2312" w:hAnsi="宋体" w:eastAsia="仿宋_GB2312" w:cstheme="minorBidi"/>
                <w:sz w:val="24"/>
                <w:szCs w:val="24"/>
                <w:highlight w:val="none"/>
              </w:rPr>
              <w:t>2</w:t>
            </w:r>
          </w:p>
        </w:tc>
        <w:tc>
          <w:tcPr>
            <w:tcW w:w="5363" w:type="dxa"/>
          </w:tcPr>
          <w:p w14:paraId="3D4E94BA">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14:paraId="77ACFB1C">
      <w:pPr>
        <w:rPr>
          <w:rFonts w:hint="eastAsia"/>
          <w:highlight w:val="none"/>
          <w:lang w:val="en-US" w:eastAsia="zh-CN"/>
        </w:rPr>
      </w:pPr>
    </w:p>
    <w:p w14:paraId="5F0C4171">
      <w:pPr>
        <w:rPr>
          <w:rFonts w:hint="default"/>
          <w:b/>
          <w:bCs/>
          <w:sz w:val="30"/>
          <w:szCs w:val="30"/>
          <w:highlight w:val="none"/>
          <w:lang w:val="en-US" w:eastAsia="zh-CN"/>
        </w:rPr>
      </w:pPr>
      <w:r>
        <w:rPr>
          <w:rFonts w:hint="eastAsia"/>
          <w:b/>
          <w:bCs/>
          <w:sz w:val="30"/>
          <w:szCs w:val="30"/>
          <w:highlight w:val="none"/>
          <w:lang w:val="en-US" w:eastAsia="zh-CN"/>
        </w:rPr>
        <w:t>备注：本清单所拟型号、技术参数允许适量变动，但使用性能、使用功能不能缺失；对投标设备品牌没有限定。</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789C4C20"/>
    <w:multiLevelType w:val="multilevel"/>
    <w:tmpl w:val="789C4C20"/>
    <w:lvl w:ilvl="0" w:tentative="0">
      <w:start w:val="1"/>
      <w:numFmt w:val="chineseCounting"/>
      <w:suff w:val="space"/>
      <w:lvlText w:val="第%1章"/>
      <w:lvlJc w:val="left"/>
      <w:pPr>
        <w:tabs>
          <w:tab w:val="left" w:pos="0"/>
        </w:tabs>
        <w:ind w:left="0" w:firstLine="0"/>
      </w:pPr>
      <w:rPr>
        <w:rFonts w:hint="eastAsia"/>
      </w:rPr>
    </w:lvl>
    <w:lvl w:ilvl="1" w:tentative="0">
      <w:start w:val="1"/>
      <w:numFmt w:val="chineseCounting"/>
      <w:suff w:val="space"/>
      <w:lvlText w:val="第%2节"/>
      <w:lvlJc w:val="left"/>
      <w:pPr>
        <w:tabs>
          <w:tab w:val="left" w:pos="420"/>
        </w:tabs>
        <w:ind w:left="0" w:firstLine="402"/>
      </w:pPr>
      <w:rPr>
        <w:rFonts w:hint="eastAsia" w:ascii="宋体" w:hAnsi="宋体" w:eastAsia="宋体" w:cs="宋体"/>
      </w:rPr>
    </w:lvl>
    <w:lvl w:ilvl="2" w:tentative="0">
      <w:start w:val="1"/>
      <w:numFmt w:val="chineseCounting"/>
      <w:suff w:val="nothing"/>
      <w:lvlText w:val="%3、"/>
      <w:lvlJc w:val="left"/>
      <w:pPr>
        <w:tabs>
          <w:tab w:val="left" w:pos="420"/>
        </w:tabs>
        <w:ind w:left="0" w:firstLine="805"/>
      </w:pPr>
      <w:rPr>
        <w:rFonts w:hint="eastAsia" w:ascii="宋体" w:hAnsi="宋体" w:eastAsia="宋体" w:cs="宋体"/>
        <w:sz w:val="24"/>
        <w:szCs w:val="24"/>
      </w:rPr>
    </w:lvl>
    <w:lvl w:ilvl="3" w:tentative="0">
      <w:start w:val="1"/>
      <w:numFmt w:val="chineseCounting"/>
      <w:pStyle w:val="2"/>
      <w:suff w:val="nothing"/>
      <w:lvlText w:val="（%4）"/>
      <w:lvlJc w:val="left"/>
      <w:pPr>
        <w:tabs>
          <w:tab w:val="left" w:pos="420"/>
        </w:tabs>
        <w:ind w:left="0" w:firstLine="850"/>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NzgxMjU4ZWE5Y2U1OTNmYzY3YjVmZDFiODYxNTQifQ=="/>
  </w:docVars>
  <w:rsids>
    <w:rsidRoot w:val="00EF4617"/>
    <w:rsid w:val="00225378"/>
    <w:rsid w:val="00393E34"/>
    <w:rsid w:val="0055378C"/>
    <w:rsid w:val="007F64EC"/>
    <w:rsid w:val="00866897"/>
    <w:rsid w:val="00A870A3"/>
    <w:rsid w:val="00D82A36"/>
    <w:rsid w:val="00EF4617"/>
    <w:rsid w:val="014337F8"/>
    <w:rsid w:val="01E476BA"/>
    <w:rsid w:val="04295EAE"/>
    <w:rsid w:val="049A7BD3"/>
    <w:rsid w:val="052334FC"/>
    <w:rsid w:val="0643470E"/>
    <w:rsid w:val="07261BF2"/>
    <w:rsid w:val="07D06C5E"/>
    <w:rsid w:val="08E007C1"/>
    <w:rsid w:val="0AE0655C"/>
    <w:rsid w:val="0B3545A0"/>
    <w:rsid w:val="0BE8391A"/>
    <w:rsid w:val="0CFC644E"/>
    <w:rsid w:val="0EFB3964"/>
    <w:rsid w:val="0F362BEE"/>
    <w:rsid w:val="0F582E22"/>
    <w:rsid w:val="10FE188A"/>
    <w:rsid w:val="11A7030A"/>
    <w:rsid w:val="14AB1989"/>
    <w:rsid w:val="14BF2597"/>
    <w:rsid w:val="18C474BD"/>
    <w:rsid w:val="19355CC5"/>
    <w:rsid w:val="1B56146E"/>
    <w:rsid w:val="1B8515C8"/>
    <w:rsid w:val="1C1442B7"/>
    <w:rsid w:val="1C7B60E4"/>
    <w:rsid w:val="1D322C47"/>
    <w:rsid w:val="1DBB6CC6"/>
    <w:rsid w:val="1F005A65"/>
    <w:rsid w:val="213629A0"/>
    <w:rsid w:val="21FE64EE"/>
    <w:rsid w:val="22152B4C"/>
    <w:rsid w:val="22943A5C"/>
    <w:rsid w:val="240A6118"/>
    <w:rsid w:val="24B54953"/>
    <w:rsid w:val="25FE23B4"/>
    <w:rsid w:val="267C0A39"/>
    <w:rsid w:val="283D06F2"/>
    <w:rsid w:val="28CE7F9A"/>
    <w:rsid w:val="28FC63E9"/>
    <w:rsid w:val="29E74DB9"/>
    <w:rsid w:val="2A5266D7"/>
    <w:rsid w:val="2ACD5726"/>
    <w:rsid w:val="2CEB797A"/>
    <w:rsid w:val="2DD315A5"/>
    <w:rsid w:val="2F416D1A"/>
    <w:rsid w:val="30930421"/>
    <w:rsid w:val="32566F80"/>
    <w:rsid w:val="32D9292F"/>
    <w:rsid w:val="34720A30"/>
    <w:rsid w:val="34FC0FAF"/>
    <w:rsid w:val="35082936"/>
    <w:rsid w:val="35424185"/>
    <w:rsid w:val="35460761"/>
    <w:rsid w:val="365F6D81"/>
    <w:rsid w:val="378E43BA"/>
    <w:rsid w:val="39AA5F21"/>
    <w:rsid w:val="3A195A87"/>
    <w:rsid w:val="3C3145CD"/>
    <w:rsid w:val="3CBE19AA"/>
    <w:rsid w:val="3E361DEC"/>
    <w:rsid w:val="3E8A6BAC"/>
    <w:rsid w:val="3EC3599D"/>
    <w:rsid w:val="3F081602"/>
    <w:rsid w:val="40F365C8"/>
    <w:rsid w:val="427174BE"/>
    <w:rsid w:val="4320271E"/>
    <w:rsid w:val="435172E1"/>
    <w:rsid w:val="43E202FE"/>
    <w:rsid w:val="45B35D34"/>
    <w:rsid w:val="45CD7101"/>
    <w:rsid w:val="45E22BAD"/>
    <w:rsid w:val="46C202E8"/>
    <w:rsid w:val="479F055A"/>
    <w:rsid w:val="48DE574A"/>
    <w:rsid w:val="4997476B"/>
    <w:rsid w:val="49C7136C"/>
    <w:rsid w:val="4AE83AC1"/>
    <w:rsid w:val="4C8A18A8"/>
    <w:rsid w:val="4CF11C47"/>
    <w:rsid w:val="4DF47921"/>
    <w:rsid w:val="4E874532"/>
    <w:rsid w:val="51D75590"/>
    <w:rsid w:val="5557558F"/>
    <w:rsid w:val="56E83C91"/>
    <w:rsid w:val="57573528"/>
    <w:rsid w:val="57591F2C"/>
    <w:rsid w:val="57715408"/>
    <w:rsid w:val="581562DD"/>
    <w:rsid w:val="58BD65BD"/>
    <w:rsid w:val="5A826B00"/>
    <w:rsid w:val="5B7756EE"/>
    <w:rsid w:val="5C3747E5"/>
    <w:rsid w:val="5C381066"/>
    <w:rsid w:val="5D6B1282"/>
    <w:rsid w:val="5D712F24"/>
    <w:rsid w:val="5ECC465D"/>
    <w:rsid w:val="600763D9"/>
    <w:rsid w:val="60581667"/>
    <w:rsid w:val="61A91D7E"/>
    <w:rsid w:val="633805C9"/>
    <w:rsid w:val="63677391"/>
    <w:rsid w:val="639873C9"/>
    <w:rsid w:val="64067788"/>
    <w:rsid w:val="65044496"/>
    <w:rsid w:val="656839B7"/>
    <w:rsid w:val="66682803"/>
    <w:rsid w:val="66B91E9D"/>
    <w:rsid w:val="67917B37"/>
    <w:rsid w:val="686858EF"/>
    <w:rsid w:val="68994EF5"/>
    <w:rsid w:val="69434854"/>
    <w:rsid w:val="69B313B8"/>
    <w:rsid w:val="6A177E6D"/>
    <w:rsid w:val="6A4532D1"/>
    <w:rsid w:val="6A955B90"/>
    <w:rsid w:val="6AF32C74"/>
    <w:rsid w:val="6CA33476"/>
    <w:rsid w:val="6CD96180"/>
    <w:rsid w:val="700205F2"/>
    <w:rsid w:val="71086E73"/>
    <w:rsid w:val="73577E87"/>
    <w:rsid w:val="74FB1FD3"/>
    <w:rsid w:val="78273FFB"/>
    <w:rsid w:val="78767001"/>
    <w:rsid w:val="79315C08"/>
    <w:rsid w:val="7B576EF9"/>
    <w:rsid w:val="7B851222"/>
    <w:rsid w:val="7D1C77DC"/>
    <w:rsid w:val="7E751EC1"/>
    <w:rsid w:val="7EBC3294"/>
    <w:rsid w:val="7F73429A"/>
    <w:rsid w:val="7FD6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semiHidden/>
    <w:unhideWhenUsed/>
    <w:qFormat/>
    <w:uiPriority w:val="9"/>
    <w:pPr>
      <w:keepNext/>
      <w:keepLines/>
      <w:numPr>
        <w:ilvl w:val="3"/>
        <w:numId w:val="1"/>
      </w:numPr>
      <w:spacing w:before="280" w:beforeLines="0" w:beforeAutospacing="0" w:after="290" w:afterLines="0" w:afterAutospacing="0" w:line="240" w:lineRule="auto"/>
      <w:ind w:firstLine="850"/>
      <w:outlineLvl w:val="3"/>
    </w:pPr>
    <w:rPr>
      <w:rFonts w:ascii="Arial" w:hAnsi="Arial" w:eastAsia="黑体" w:cs="Times New Roman"/>
      <w:b/>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autoRedefine/>
    <w:qFormat/>
    <w:uiPriority w:val="99"/>
    <w:pPr>
      <w:keepNext/>
      <w:keepLines/>
      <w:numPr>
        <w:ilvl w:val="4"/>
        <w:numId w:val="2"/>
      </w:numPr>
      <w:spacing w:before="280" w:after="156" w:line="376" w:lineRule="auto"/>
      <w:jc w:val="left"/>
      <w:outlineLvl w:val="4"/>
    </w:pPr>
    <w:rPr>
      <w:rFonts w:ascii="Arial" w:hAnsi="Arial" w:eastAsia="黑体"/>
      <w:b/>
      <w:sz w:val="24"/>
      <w:szCs w:val="28"/>
    </w:rPr>
  </w:style>
  <w:style w:type="paragraph" w:customStyle="1" w:styleId="10">
    <w:name w:val="正文（绿盟科技）"/>
    <w:autoRedefine/>
    <w:qFormat/>
    <w:uiPriority w:val="99"/>
    <w:pPr>
      <w:spacing w:line="300" w:lineRule="auto"/>
    </w:pPr>
    <w:rPr>
      <w:rFonts w:ascii="Arial" w:hAnsi="Arial" w:eastAsia="宋体" w:cs="黑体"/>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4125</Words>
  <Characters>4522</Characters>
  <Lines>7</Lines>
  <Paragraphs>2</Paragraphs>
  <TotalTime>6</TotalTime>
  <ScaleCrop>false</ScaleCrop>
  <LinksUpToDate>false</LinksUpToDate>
  <CharactersWithSpaces>4537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2024-05-20T07:45:00Z</dcterms:created>
  <dc:creator>。陈晓东-</dc:creator>
  <cp:lastModifiedBy>融媒体中心</cp:lastModifiedBy>
  <dcterms:modified xsi:type="dcterms:W3CDTF">2025-12-05T07:01:09Z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3AE8042A15D745459CE5FF15CC1A473D_13</vt:lpwstr>
  </property>
  <property fmtid="{D5CDD505-2E9C-101B-9397-08002B2CF9AE}" pid="4" name="KSOTemplateDocerSaveRecord">
    <vt:lpwstr>eyJoZGlkIjoiMmVkNDk4YjRhNzY0ZTJhZDMyMWYyMmI1YjMyYjA4NDEiLCJ1c2VySWQiOiI5NTM1NTc5MDgifQ==</vt:lpwstr>
  </property>
</Properties>
</file>